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F85D08">
      <w:pPr>
        <w:spacing w:line="566" w:lineRule="exact"/>
      </w:pPr>
      <w:bookmarkStart w:id="2" w:name="_GoBack"/>
      <w:bookmarkEnd w:id="2"/>
      <w:r>
        <w:rPr>
          <w:rFonts w:ascii="宋体" w:hAnsi="宋体"/>
          <w:spacing w:val="-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16510</wp:posOffset>
                </wp:positionH>
                <wp:positionV relativeFrom="page">
                  <wp:posOffset>1016635</wp:posOffset>
                </wp:positionV>
                <wp:extent cx="5599430" cy="701040"/>
                <wp:effectExtent l="0" t="0" r="3810" b="0"/>
                <wp:wrapNone/>
                <wp:docPr id="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9430" cy="70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12E94C">
                            <w:pPr>
                              <w:snapToGrid w:val="0"/>
                              <w:spacing w:line="240" w:lineRule="auto"/>
                              <w:jc w:val="center"/>
                              <w:rPr>
                                <w:rFonts w:hint="eastAsia" w:eastAsia="方正小标宋简体"/>
                                <w:b/>
                                <w:color w:val="FF0000"/>
                                <w:w w:val="80"/>
                                <w:sz w:val="94"/>
                                <w:szCs w:val="80"/>
                              </w:rPr>
                            </w:pPr>
                            <w:bookmarkStart w:id="1" w:name="红头"/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spacing w:val="60"/>
                                <w:w w:val="80"/>
                                <w:sz w:val="80"/>
                                <w:szCs w:val="80"/>
                              </w:rPr>
                              <w:t>郑州市</w:t>
                            </w:r>
                            <w:bookmarkEnd w:id="1"/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spacing w:val="60"/>
                                <w:w w:val="80"/>
                                <w:sz w:val="80"/>
                                <w:szCs w:val="80"/>
                              </w:rPr>
                              <w:t>气象局政策法规科</w:t>
                            </w:r>
                          </w:p>
                          <w:p w14:paraId="65866F48">
                            <w:pPr>
                              <w:snapToGrid w:val="0"/>
                              <w:spacing w:line="240" w:lineRule="auto"/>
                              <w:jc w:val="center"/>
                              <w:rPr>
                                <w:rFonts w:eastAsia="仿宋_GB2312"/>
                                <w:b/>
                                <w:color w:val="FF0000"/>
                                <w:spacing w:val="100"/>
                                <w:w w:val="80"/>
                                <w:sz w:val="32"/>
                                <w:szCs w:val="20"/>
                              </w:rPr>
                            </w:pPr>
                          </w:p>
                          <w:p w14:paraId="0D313E91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1.3pt;margin-top:80.05pt;height:55.2pt;width:440.9pt;mso-position-vertical-relative:page;z-index:-251655168;mso-width-relative:page;mso-height-relative:page;" filled="f" stroked="f" coordsize="21600,21600" o:gfxdata="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lgLv7XAAAACQEAAA8AAAAAAAAAAQAgAAAAIgAAAGRycy9kb3ducmV2&#10;LnhtbFBLAQIUABQAAAAIAIdO4kAUu8/p/QEAAAQEAAAOAAAAAAAAAAEAIAAAACYBAABkcnMvZTJv&#10;RG9jLnhtbFBLBQYAAAAABgAGAFkBAACV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D12E94C">
                      <w:pPr>
                        <w:snapToGrid w:val="0"/>
                        <w:spacing w:line="240" w:lineRule="auto"/>
                        <w:jc w:val="center"/>
                        <w:rPr>
                          <w:rFonts w:hint="eastAsia" w:eastAsia="方正小标宋简体"/>
                          <w:b/>
                          <w:color w:val="FF0000"/>
                          <w:w w:val="80"/>
                          <w:sz w:val="94"/>
                          <w:szCs w:val="80"/>
                        </w:rPr>
                      </w:pPr>
                      <w:bookmarkStart w:id="1" w:name="红头"/>
                      <w:r>
                        <w:rPr>
                          <w:rFonts w:hint="eastAsia" w:eastAsia="方正小标宋简体"/>
                          <w:b/>
                          <w:color w:val="FF0000"/>
                          <w:spacing w:val="60"/>
                          <w:w w:val="80"/>
                          <w:sz w:val="80"/>
                          <w:szCs w:val="80"/>
                        </w:rPr>
                        <w:t>郑州市</w:t>
                      </w:r>
                      <w:bookmarkEnd w:id="1"/>
                      <w:r>
                        <w:rPr>
                          <w:rFonts w:hint="eastAsia" w:eastAsia="方正小标宋简体"/>
                          <w:b/>
                          <w:color w:val="FF0000"/>
                          <w:spacing w:val="60"/>
                          <w:w w:val="80"/>
                          <w:sz w:val="80"/>
                          <w:szCs w:val="80"/>
                        </w:rPr>
                        <w:t>气象局政策法规科</w:t>
                      </w:r>
                    </w:p>
                    <w:p w14:paraId="65866F48">
                      <w:pPr>
                        <w:snapToGrid w:val="0"/>
                        <w:spacing w:line="240" w:lineRule="auto"/>
                        <w:jc w:val="center"/>
                        <w:rPr>
                          <w:rFonts w:eastAsia="仿宋_GB2312"/>
                          <w:b/>
                          <w:color w:val="FF0000"/>
                          <w:spacing w:val="100"/>
                          <w:w w:val="80"/>
                          <w:sz w:val="32"/>
                          <w:szCs w:val="20"/>
                        </w:rPr>
                      </w:pPr>
                    </w:p>
                    <w:p w14:paraId="0D313E91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-263525</wp:posOffset>
                </wp:positionH>
                <wp:positionV relativeFrom="page">
                  <wp:posOffset>1785620</wp:posOffset>
                </wp:positionV>
                <wp:extent cx="6120130" cy="0"/>
                <wp:effectExtent l="31750" t="33020" r="29845" b="33655"/>
                <wp:wrapNone/>
                <wp:docPr id="2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20.75pt;margin-top:140.6pt;height:0pt;width:481.9pt;mso-position-vertical-relative:page;z-index:-251656192;mso-width-relative:page;mso-height-relative:page;" filled="f" stroked="t" coordsize="21600,21600" o:gfxdata="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IX/EM3VAAAACwEAAA8AAAAAAAAAAQAgAAAA&#10;IgAAAGRycy9kb3ducmV2LnhtbFBLAQIUABQAAAAIAIdO4kAPbvgK1QEAALEDAAAOAAAAAAAAAAEA&#10;IAAAACQBAABkcnMvZTJvRG9jLnhtbFBLBQYAAAAABgAGAFkBAABrBQAAAAA=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 w14:paraId="6F4AB88C">
      <w:pPr>
        <w:snapToGrid w:val="0"/>
        <w:spacing w:line="566" w:lineRule="exact"/>
        <w:jc w:val="center"/>
        <w:rPr>
          <w:rFonts w:ascii="仿宋_GB2312"/>
          <w:w w:val="80"/>
          <w:szCs w:val="32"/>
        </w:rPr>
      </w:pPr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16510</wp:posOffset>
                </wp:positionH>
                <wp:positionV relativeFrom="page">
                  <wp:posOffset>1981200</wp:posOffset>
                </wp:positionV>
                <wp:extent cx="2821305" cy="349885"/>
                <wp:effectExtent l="0" t="0" r="635" b="2540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1305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6E6ED8">
                            <w:pPr>
                              <w:spacing w:line="360" w:lineRule="exact"/>
                              <w:jc w:val="left"/>
                            </w:pPr>
                          </w:p>
                          <w:p w14:paraId="49FE1335">
                            <w:pPr>
                              <w:spacing w:line="360" w:lineRule="exact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1.3pt;margin-top:156pt;height:27.55pt;width:222.15pt;mso-position-vertical-relative:page;z-index:-251657216;mso-width-relative:page;mso-height-relative:page;" filled="f" stroked="f" coordsize="21600,21600" o:gfxdata="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J9MHA2AAAAAkBAAAPAAAAAAAAAAEAIAAAACIAAABkcnMvZG93bnJl&#10;di54bWxQSwECFAAUAAAACACHTuJArpmnMf0BAAAEBAAADgAAAAAAAAABACAAAAAnAQAAZHJzL2Uy&#10;b0RvYy54bWxQSwUGAAAAAAYABgBZAQAAlg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66E6ED8">
                      <w:pPr>
                        <w:spacing w:line="360" w:lineRule="exact"/>
                        <w:jc w:val="left"/>
                      </w:pPr>
                    </w:p>
                    <w:p w14:paraId="49FE1335">
                      <w:pPr>
                        <w:spacing w:line="360" w:lineRule="exact"/>
                        <w:jc w:val="left"/>
                      </w:pPr>
                    </w:p>
                  </w:txbxContent>
                </v:textbox>
              </v:shape>
            </w:pict>
          </mc:Fallback>
        </mc:AlternateContent>
      </w:r>
    </w:p>
    <w:p w14:paraId="49FBFAC6">
      <w:pPr>
        <w:spacing w:line="360" w:lineRule="exact"/>
        <w:jc w:val="right"/>
        <w:rPr>
          <w:rFonts w:hint="eastAsia" w:ascii="仿宋_GB2312" w:eastAsia="仿宋_GB2312"/>
          <w:sz w:val="32"/>
          <w:szCs w:val="20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  <w:lang w:val="en-US" w:eastAsia="zh-CN"/>
        </w:rPr>
        <w:t xml:space="preserve">                          </w:t>
      </w:r>
      <w:bookmarkStart w:id="0" w:name="文号"/>
      <w:bookmarkEnd w:id="0"/>
      <w:r>
        <w:rPr>
          <w:rFonts w:hint="eastAsia" w:ascii="仿宋_GB2312" w:eastAsia="仿宋_GB2312"/>
          <w:sz w:val="32"/>
          <w:szCs w:val="20"/>
        </w:rPr>
        <w:t>郑气法函〔202</w:t>
      </w:r>
      <w:r>
        <w:rPr>
          <w:rFonts w:hint="eastAsia" w:ascii="仿宋_GB2312" w:eastAsia="仿宋_GB2312"/>
          <w:sz w:val="32"/>
          <w:szCs w:val="20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20"/>
        </w:rPr>
        <w:t>〕2号</w:t>
      </w:r>
    </w:p>
    <w:p w14:paraId="3DFB5805">
      <w:pPr>
        <w:spacing w:line="640" w:lineRule="exact"/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439A4CBE">
      <w:pPr>
        <w:spacing w:line="640" w:lineRule="exact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关于印发2025年度行政执法检查</w:t>
      </w:r>
    </w:p>
    <w:p w14:paraId="1B427B21">
      <w:pPr>
        <w:spacing w:line="640" w:lineRule="exact"/>
        <w:jc w:val="center"/>
        <w:rPr>
          <w:rFonts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工作计划的通知</w:t>
      </w:r>
    </w:p>
    <w:p w14:paraId="46D9A7C0">
      <w:pPr>
        <w:jc w:val="center"/>
        <w:rPr>
          <w:rFonts w:ascii="黑体" w:eastAsia="黑体"/>
          <w:b/>
          <w:sz w:val="36"/>
          <w:szCs w:val="36"/>
        </w:rPr>
      </w:pPr>
    </w:p>
    <w:p w14:paraId="22CA6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各内设机构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各县（市）气象局</w:t>
      </w:r>
      <w:r>
        <w:rPr>
          <w:rFonts w:hint="eastAsia" w:ascii="仿宋_GB2312" w:eastAsia="仿宋_GB2312"/>
          <w:kern w:val="0"/>
          <w:sz w:val="32"/>
          <w:szCs w:val="32"/>
        </w:rPr>
        <w:t>：</w:t>
      </w:r>
    </w:p>
    <w:p w14:paraId="2995D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为全面加强气象领域安全监管，保障人民群众生命财产安全和社会稳定，根据《关于贯彻落实〈法治政府建设实施纲要（2021—2025年）〉的实施意见》及省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市相关工作部署，结合我市实际，制定2025年度行政执法检查工作计划。现将有关事项通知如下：</w:t>
      </w:r>
    </w:p>
    <w:p w14:paraId="2AA75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一、总体要求</w:t>
      </w:r>
    </w:p>
    <w:p w14:paraId="61DB0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习近平法治思想为指导，坚持“安全第一、预防为主、综合治理”方针，聚焦防雷安全、升放气球、气象探测环境保护等重点领域，强化“双随机、一公开”监管与跨部门联合执法，提升数字化监管能力，确保执法检查全覆盖、隐患整改闭环管理，为全市安全生产形势稳定提供坚实气象保障。</w:t>
      </w:r>
    </w:p>
    <w:p w14:paraId="23E162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二、重点任务与时间安排</w:t>
      </w:r>
    </w:p>
    <w:p w14:paraId="0CBDE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（一）防雷安全专项执法</w:t>
      </w:r>
    </w:p>
    <w:p w14:paraId="038837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检查对象：易燃易爆场所（油库、气库、化工企业）、旅游景区、大型建设项目等防雷安全重点单位。</w:t>
      </w:r>
    </w:p>
    <w:p w14:paraId="45D44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检查内容：防雷装置设计审核、竣工验收及年度检测报告真实性；防雷安全隐患排查及整改闭环情况；防雷安全管理制度及应急预案落实。</w:t>
      </w:r>
    </w:p>
    <w:p w14:paraId="05254B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时间安排：5月至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结合“双随机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、一公开</w:t>
      </w:r>
      <w:r>
        <w:rPr>
          <w:rFonts w:hint="eastAsia" w:ascii="仿宋_GB2312" w:eastAsia="仿宋_GB2312"/>
          <w:sz w:val="32"/>
          <w:szCs w:val="32"/>
        </w:rPr>
        <w:t>”抽查，开展两轮全覆盖检查，汛期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结束</w:t>
      </w:r>
      <w:r>
        <w:rPr>
          <w:rFonts w:hint="eastAsia" w:ascii="仿宋_GB2312" w:eastAsia="仿宋_GB2312"/>
          <w:sz w:val="32"/>
          <w:szCs w:val="32"/>
        </w:rPr>
        <w:t>前完成首轮隐患排查；1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月至12月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针对问题单位开展“回头看”，确保整改到位。</w:t>
      </w:r>
    </w:p>
    <w:p w14:paraId="6C22F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（二）升放气球活动监管</w:t>
      </w:r>
    </w:p>
    <w:p w14:paraId="34675F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检查对象：升放无人驾驶自由气球、系留气球的企事业单位及个人。</w:t>
      </w:r>
    </w:p>
    <w:p w14:paraId="43103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检查内容：资质许可、活动审批及安全措施落实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 w14:paraId="3C3DE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重点时段（节假日、重大活动）禁放区巡查。</w:t>
      </w:r>
    </w:p>
    <w:p w14:paraId="4A0CC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时间安排：每月至少开展1次日常巡查；元旦、春节、国庆等节假日及全国两会期间实施专项检查。</w:t>
      </w:r>
    </w:p>
    <w:p w14:paraId="25823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（三）雷电防护装置检测质量监督</w:t>
      </w:r>
    </w:p>
    <w:p w14:paraId="12D66D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检查对象：在本市从事防雷检测业务的资质单位。</w:t>
      </w:r>
    </w:p>
    <w:p w14:paraId="0FA47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检查内容：资质合规性、检测报告真实性及信用等级；是否存在转包、挂靠、伪造数据等违法违规行为。</w:t>
      </w:r>
    </w:p>
    <w:p w14:paraId="10C4AF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时间安排：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月至1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结合“双随机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、一公开</w:t>
      </w:r>
      <w:r>
        <w:rPr>
          <w:rFonts w:hint="eastAsia" w:ascii="仿宋_GB2312" w:eastAsia="仿宋_GB2312"/>
          <w:sz w:val="32"/>
          <w:szCs w:val="32"/>
        </w:rPr>
        <w:t>”抽查，对信用等级一般或较差单位实施重点检查；12月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汇总检测质量考核结果，纳入信用管理平台。</w:t>
      </w:r>
    </w:p>
    <w:p w14:paraId="04204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（四）气象探测环境保护</w:t>
      </w:r>
    </w:p>
    <w:p w14:paraId="40FBB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检查对象：气象探测环境保护范围内新建、扩建、改建项目单位。</w:t>
      </w:r>
    </w:p>
    <w:p w14:paraId="44AAF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检查内容：施工许可合规性及探测环境影响评估；是否存在危害气象设施的行为。</w:t>
      </w:r>
    </w:p>
    <w:p w14:paraId="1FA33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时间安排：全年常态化巡查，汛期前完成重点区域勘验。</w:t>
      </w:r>
    </w:p>
    <w:p w14:paraId="1AF4F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三、执法方式与创新举措</w:t>
      </w:r>
    </w:p>
    <w:p w14:paraId="21429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“双随机、一公开”监管：通过监管平台随机抽取检查对象与执法人员，检查比例不低于10%；结果实时录入系统并向社会公示。</w:t>
      </w:r>
    </w:p>
    <w:p w14:paraId="52F0A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跨部门联合执法：联合应急管理、市场监管等部门开展防雷安全、升放气球专项检查。</w:t>
      </w:r>
    </w:p>
    <w:p w14:paraId="20275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3.专项执法检查：针对危化品企业、雷电易发区等重点领域开展“执法+专家”专项执法检查。</w:t>
      </w:r>
    </w:p>
    <w:p w14:paraId="13D4E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数字化监管手段：利用防雷安全监管平台实现检测报告在线核验。</w:t>
      </w:r>
    </w:p>
    <w:p w14:paraId="50AAA1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四、工作要求</w:t>
      </w:r>
    </w:p>
    <w:p w14:paraId="5B6F2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严格规范执法：全面落实行政执法“三项制度”，确保执法过程公开透明；对违法违规行为依法立案查处，典型案例公开曝光。</w:t>
      </w:r>
    </w:p>
    <w:p w14:paraId="321536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强化宣传引导：结合“3·23”世界气象日、“5·12”防灾减灾日等活动，普及气象法律法规；对检测单位、升放气球企业开展专题培训，压实主体责任。</w:t>
      </w:r>
    </w:p>
    <w:p w14:paraId="3784F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提升执法能力：组织执法人员参加《行政处罚法》《河南省防雷减灾实施办法》</w:t>
      </w:r>
      <w:r>
        <w:rPr>
          <w:rFonts w:hint="eastAsia" w:ascii="仿宋_GB2312" w:eastAsia="仿宋_GB2312"/>
          <w:sz w:val="32"/>
          <w:szCs w:val="32"/>
          <w:lang w:eastAsia="zh-CN"/>
        </w:rPr>
        <w:t>《升放气球管理办法》</w:t>
      </w:r>
      <w:r>
        <w:rPr>
          <w:rFonts w:hint="eastAsia" w:ascii="仿宋_GB2312" w:eastAsia="仿宋_GB2312"/>
          <w:sz w:val="32"/>
          <w:szCs w:val="32"/>
        </w:rPr>
        <w:t>等专题培训；开展案卷评查，规范执法文书制作。</w:t>
      </w:r>
    </w:p>
    <w:p w14:paraId="7CC38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五、保障措施</w:t>
      </w:r>
    </w:p>
    <w:p w14:paraId="5B2AA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组织保障：成立由局领导牵头的执法工作领导小组，统筹协调全市执法工作；</w:t>
      </w:r>
    </w:p>
    <w:p w14:paraId="13E4E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2.市局和</w:t>
      </w:r>
      <w:r>
        <w:rPr>
          <w:rFonts w:hint="eastAsia" w:ascii="仿宋_GB2312" w:eastAsia="仿宋_GB2312"/>
          <w:sz w:val="32"/>
          <w:szCs w:val="32"/>
        </w:rPr>
        <w:t>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县（市）</w:t>
      </w:r>
      <w:r>
        <w:rPr>
          <w:rFonts w:hint="eastAsia" w:ascii="仿宋_GB2312" w:eastAsia="仿宋_GB2312"/>
          <w:sz w:val="32"/>
          <w:szCs w:val="32"/>
        </w:rPr>
        <w:t>气象局明确专人负责，确保计划落实。</w:t>
      </w:r>
    </w:p>
    <w:p w14:paraId="660C2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经费保障：申请专项执法经费，用于检测设备购置、人员培训及信息化系统维护。</w:t>
      </w:r>
    </w:p>
    <w:p w14:paraId="041D4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监督考核：将执法计划完成情况纳入年度考核，对履职不力单位通报批评；定期向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郑州</w:t>
      </w:r>
      <w:r>
        <w:rPr>
          <w:rFonts w:hint="eastAsia" w:ascii="仿宋_GB2312" w:eastAsia="仿宋_GB2312"/>
          <w:sz w:val="32"/>
          <w:szCs w:val="32"/>
        </w:rPr>
        <w:t>市政府及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河南</w:t>
      </w:r>
      <w:r>
        <w:rPr>
          <w:rFonts w:hint="eastAsia" w:ascii="仿宋_GB2312" w:eastAsia="仿宋_GB2312"/>
          <w:sz w:val="32"/>
          <w:szCs w:val="32"/>
        </w:rPr>
        <w:t>省气象局报送执法进展。</w:t>
      </w:r>
    </w:p>
    <w:p w14:paraId="0582C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</w:p>
    <w:p w14:paraId="49975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</w:p>
    <w:p w14:paraId="08702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40" w:firstLineChars="15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郑州</w:t>
      </w:r>
      <w:r>
        <w:rPr>
          <w:rFonts w:hint="eastAsia" w:ascii="仿宋_GB2312" w:eastAsia="仿宋_GB2312"/>
          <w:sz w:val="32"/>
          <w:szCs w:val="32"/>
        </w:rPr>
        <w:t>市气象局</w:t>
      </w:r>
      <w:r>
        <w:rPr>
          <w:rFonts w:hint="eastAsia" w:ascii="仿宋_GB2312" w:eastAsia="仿宋_GB2312"/>
          <w:sz w:val="32"/>
          <w:szCs w:val="32"/>
          <w:lang w:eastAsia="zh-CN"/>
        </w:rPr>
        <w:t>政策法规科</w:t>
      </w:r>
    </w:p>
    <w:p w14:paraId="05A107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72" w:firstLineChars="17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2025年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28B35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eastAsia="仿宋_GB2312"/>
          <w:sz w:val="32"/>
          <w:szCs w:val="32"/>
        </w:rPr>
      </w:pPr>
    </w:p>
    <w:p w14:paraId="212145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（联系人：</w:t>
      </w:r>
      <w:r>
        <w:rPr>
          <w:rFonts w:hint="eastAsia" w:ascii="仿宋_GB2312" w:eastAsia="仿宋_GB2312"/>
          <w:sz w:val="32"/>
          <w:szCs w:val="32"/>
          <w:lang w:eastAsia="zh-CN"/>
        </w:rPr>
        <w:t>王婷婷</w:t>
      </w:r>
      <w:r>
        <w:rPr>
          <w:rFonts w:hint="eastAsia" w:ascii="仿宋_GB2312" w:eastAsia="仿宋_GB2312"/>
          <w:sz w:val="32"/>
          <w:szCs w:val="32"/>
        </w:rPr>
        <w:t>，联系电话：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0371-66827178</w:t>
      </w:r>
      <w:r>
        <w:rPr>
          <w:rFonts w:hint="eastAsia" w:ascii="仿宋_GB2312" w:eastAsia="仿宋_GB2312"/>
          <w:sz w:val="32"/>
          <w:szCs w:val="32"/>
        </w:rPr>
        <w:t>）</w:t>
      </w:r>
    </w:p>
    <w:sectPr>
      <w:headerReference r:id="rId5" w:type="first"/>
      <w:headerReference r:id="rId3" w:type="default"/>
      <w:headerReference r:id="rId4" w:type="even"/>
      <w:footerReference r:id="rId6" w:type="even"/>
      <w:pgSz w:w="11906" w:h="16838"/>
      <w:pgMar w:top="2138" w:right="1531" w:bottom="1132" w:left="1531" w:header="851" w:footer="1491" w:gutter="0"/>
      <w:pgNumType w:chapSep="emDash"/>
      <w:cols w:space="425" w:num="1"/>
      <w:titlePg/>
      <w:docGrid w:type="linesAndChars" w:linePitch="616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680710">
    <w:pPr>
      <w:pStyle w:val="4"/>
      <w:framePr w:w="1620" w:wrap="around" w:vAnchor="text" w:hAnchor="page" w:x="1581" w:y="218"/>
      <w:spacing w:line="280" w:lineRule="exact"/>
      <w:rPr>
        <w:rStyle w:val="9"/>
        <w:sz w:val="28"/>
        <w:szCs w:val="20"/>
      </w:rPr>
    </w:pPr>
  </w:p>
  <w:p w14:paraId="40DABE37">
    <w:pPr>
      <w:pStyle w:val="4"/>
      <w:tabs>
        <w:tab w:val="right" w:pos="8460"/>
      </w:tabs>
      <w:ind w:right="372"/>
      <w:jc w:val="right"/>
      <w:rPr>
        <w:rFonts w:ascii="仿宋_GB2312"/>
        <w:sz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33F398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4A02F"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20CB21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149"/>
    <w:rsid w:val="00004D64"/>
    <w:rsid w:val="00007145"/>
    <w:rsid w:val="00067F89"/>
    <w:rsid w:val="0007312F"/>
    <w:rsid w:val="00096DEC"/>
    <w:rsid w:val="000D0F72"/>
    <w:rsid w:val="000E1817"/>
    <w:rsid w:val="00101858"/>
    <w:rsid w:val="00102C83"/>
    <w:rsid w:val="00126218"/>
    <w:rsid w:val="001332AB"/>
    <w:rsid w:val="00173BF7"/>
    <w:rsid w:val="00196803"/>
    <w:rsid w:val="001B0A67"/>
    <w:rsid w:val="001C193F"/>
    <w:rsid w:val="001D472B"/>
    <w:rsid w:val="001D6FAD"/>
    <w:rsid w:val="001E4B2B"/>
    <w:rsid w:val="00202E4C"/>
    <w:rsid w:val="00221B72"/>
    <w:rsid w:val="00227D25"/>
    <w:rsid w:val="002D5D34"/>
    <w:rsid w:val="003547D8"/>
    <w:rsid w:val="00356E52"/>
    <w:rsid w:val="003678C0"/>
    <w:rsid w:val="00375352"/>
    <w:rsid w:val="004074F5"/>
    <w:rsid w:val="004315F9"/>
    <w:rsid w:val="004866CA"/>
    <w:rsid w:val="00496E76"/>
    <w:rsid w:val="004C356F"/>
    <w:rsid w:val="004D4404"/>
    <w:rsid w:val="0050436E"/>
    <w:rsid w:val="00514845"/>
    <w:rsid w:val="005309B6"/>
    <w:rsid w:val="00530C95"/>
    <w:rsid w:val="00564A74"/>
    <w:rsid w:val="00574D8E"/>
    <w:rsid w:val="00586911"/>
    <w:rsid w:val="00595A38"/>
    <w:rsid w:val="005A0E93"/>
    <w:rsid w:val="005A61A7"/>
    <w:rsid w:val="005F2F47"/>
    <w:rsid w:val="00604EBA"/>
    <w:rsid w:val="00672D89"/>
    <w:rsid w:val="00673694"/>
    <w:rsid w:val="00673B79"/>
    <w:rsid w:val="00675ABB"/>
    <w:rsid w:val="00693AD5"/>
    <w:rsid w:val="006A2285"/>
    <w:rsid w:val="006A495C"/>
    <w:rsid w:val="006B1415"/>
    <w:rsid w:val="006D6C37"/>
    <w:rsid w:val="007014D8"/>
    <w:rsid w:val="00717952"/>
    <w:rsid w:val="00723297"/>
    <w:rsid w:val="00743F33"/>
    <w:rsid w:val="00762434"/>
    <w:rsid w:val="00763B3C"/>
    <w:rsid w:val="007725E1"/>
    <w:rsid w:val="00775268"/>
    <w:rsid w:val="00792720"/>
    <w:rsid w:val="007C7450"/>
    <w:rsid w:val="007F6C6B"/>
    <w:rsid w:val="00803EB4"/>
    <w:rsid w:val="008124E2"/>
    <w:rsid w:val="00815A5C"/>
    <w:rsid w:val="00815E41"/>
    <w:rsid w:val="00830718"/>
    <w:rsid w:val="008343C9"/>
    <w:rsid w:val="00834B44"/>
    <w:rsid w:val="008429BD"/>
    <w:rsid w:val="00855B0A"/>
    <w:rsid w:val="00857898"/>
    <w:rsid w:val="008623D6"/>
    <w:rsid w:val="00866EDD"/>
    <w:rsid w:val="008758DD"/>
    <w:rsid w:val="00886ACD"/>
    <w:rsid w:val="008C1F3E"/>
    <w:rsid w:val="008E7E05"/>
    <w:rsid w:val="008F1149"/>
    <w:rsid w:val="008F2D92"/>
    <w:rsid w:val="00923DFA"/>
    <w:rsid w:val="00937D98"/>
    <w:rsid w:val="00956FEE"/>
    <w:rsid w:val="00974510"/>
    <w:rsid w:val="00982665"/>
    <w:rsid w:val="009A7F7B"/>
    <w:rsid w:val="009F4185"/>
    <w:rsid w:val="009F7BD2"/>
    <w:rsid w:val="00A068ED"/>
    <w:rsid w:val="00A24FD1"/>
    <w:rsid w:val="00A36926"/>
    <w:rsid w:val="00A522D8"/>
    <w:rsid w:val="00A57B99"/>
    <w:rsid w:val="00A71546"/>
    <w:rsid w:val="00A90C60"/>
    <w:rsid w:val="00AA2236"/>
    <w:rsid w:val="00AC71EC"/>
    <w:rsid w:val="00AE5F63"/>
    <w:rsid w:val="00AF02A8"/>
    <w:rsid w:val="00B057B1"/>
    <w:rsid w:val="00B226E0"/>
    <w:rsid w:val="00B269D9"/>
    <w:rsid w:val="00B50BC5"/>
    <w:rsid w:val="00BE5391"/>
    <w:rsid w:val="00BF73DC"/>
    <w:rsid w:val="00C038D3"/>
    <w:rsid w:val="00C16510"/>
    <w:rsid w:val="00C248C4"/>
    <w:rsid w:val="00C320EE"/>
    <w:rsid w:val="00C34392"/>
    <w:rsid w:val="00C57E05"/>
    <w:rsid w:val="00CA1A14"/>
    <w:rsid w:val="00CC17A2"/>
    <w:rsid w:val="00CC307D"/>
    <w:rsid w:val="00CC3978"/>
    <w:rsid w:val="00CC4CD1"/>
    <w:rsid w:val="00D30EE1"/>
    <w:rsid w:val="00D330A5"/>
    <w:rsid w:val="00D417B4"/>
    <w:rsid w:val="00D91419"/>
    <w:rsid w:val="00DA1636"/>
    <w:rsid w:val="00DA242B"/>
    <w:rsid w:val="00DD5357"/>
    <w:rsid w:val="00E2180A"/>
    <w:rsid w:val="00E41719"/>
    <w:rsid w:val="00E50C0C"/>
    <w:rsid w:val="00E70415"/>
    <w:rsid w:val="00E805A8"/>
    <w:rsid w:val="00E92584"/>
    <w:rsid w:val="00EB3EAB"/>
    <w:rsid w:val="00EB7F61"/>
    <w:rsid w:val="00ED6681"/>
    <w:rsid w:val="00EE6713"/>
    <w:rsid w:val="00EE7ACF"/>
    <w:rsid w:val="00F13439"/>
    <w:rsid w:val="00F4057A"/>
    <w:rsid w:val="00F40FFC"/>
    <w:rsid w:val="00F559DA"/>
    <w:rsid w:val="00F763EB"/>
    <w:rsid w:val="00F81259"/>
    <w:rsid w:val="00F96527"/>
    <w:rsid w:val="00FA2C62"/>
    <w:rsid w:val="00FB0631"/>
    <w:rsid w:val="00FB3AF2"/>
    <w:rsid w:val="00FC4BB0"/>
    <w:rsid w:val="00FE7E32"/>
    <w:rsid w:val="03F01149"/>
    <w:rsid w:val="115E3FF8"/>
    <w:rsid w:val="1BE475CF"/>
    <w:rsid w:val="22446106"/>
    <w:rsid w:val="2D4E6834"/>
    <w:rsid w:val="313D1EE0"/>
    <w:rsid w:val="38C5498A"/>
    <w:rsid w:val="3B4E1F26"/>
    <w:rsid w:val="413E08CE"/>
    <w:rsid w:val="425B37B9"/>
    <w:rsid w:val="45C43604"/>
    <w:rsid w:val="4E08650C"/>
    <w:rsid w:val="5D3E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2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3">
    <w:name w:val="日期 Char"/>
    <w:basedOn w:val="8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1458</Words>
  <Characters>1522</Characters>
  <Lines>12</Lines>
  <Paragraphs>3</Paragraphs>
  <TotalTime>0</TotalTime>
  <ScaleCrop>false</ScaleCrop>
  <LinksUpToDate>false</LinksUpToDate>
  <CharactersWithSpaces>1553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2022-03-18T06:20:00Z</dcterms:created>
  <dc:creator>NOT NULL</dc:creator>
  <cp:lastModifiedBy>Administrator</cp:lastModifiedBy>
  <cp:lastPrinted>2021-03-22T07:30:00Z</cp:lastPrinted>
  <dcterms:modified xsi:type="dcterms:W3CDTF">2025-07-09T03:18:24Z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eyJoZGlkIjoiODhiY2ZjMGFiMzdjMmQ2Njg3NDMwYzg2NDVkYjg0OGQifQ==</vt:lpwstr>
  </property>
  <property fmtid="{D5CDD505-2E9C-101B-9397-08002B2CF9AE}" pid="4" name="ICV">
    <vt:lpwstr>6A1D39A407B84D3A8CFE15F9A6CC264F_13</vt:lpwstr>
  </property>
</Properties>
</file>